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84" w:rsidRDefault="001D7684" w:rsidP="001D7684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Griglia di valutazione         Area di indirizzo audiovisivo e multimediale</w:t>
      </w:r>
    </w:p>
    <w:p w:rsidR="001D7684" w:rsidRDefault="001D7684" w:rsidP="001D7684">
      <w:pPr>
        <w:jc w:val="center"/>
        <w:rPr>
          <w:rFonts w:ascii="Verdana" w:hAnsi="Verdana" w:cs="Arial"/>
          <w:b/>
        </w:rPr>
      </w:pPr>
    </w:p>
    <w:p w:rsidR="001D7684" w:rsidRDefault="001D7684" w:rsidP="001D7684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1D7684" w:rsidRDefault="001D7684" w:rsidP="001D768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680"/>
        <w:gridCol w:w="2125"/>
        <w:gridCol w:w="2223"/>
      </w:tblGrid>
      <w:tr w:rsidR="001D7684" w:rsidTr="00C83C0E">
        <w:trPr>
          <w:trHeight w:val="550"/>
        </w:trPr>
        <w:tc>
          <w:tcPr>
            <w:tcW w:w="5506" w:type="dxa"/>
            <w:gridSpan w:val="2"/>
            <w:shd w:val="clear" w:color="auto" w:fill="548DD4"/>
          </w:tcPr>
          <w:p w:rsidR="001D7684" w:rsidRPr="00857DD1" w:rsidRDefault="001D7684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7DD1">
              <w:rPr>
                <w:rFonts w:ascii="Arial" w:hAnsi="Arial" w:cs="Arial"/>
                <w:b/>
                <w:sz w:val="20"/>
                <w:szCs w:val="20"/>
              </w:rPr>
              <w:t xml:space="preserve">INDIRIZZO </w:t>
            </w:r>
            <w:r>
              <w:rPr>
                <w:rFonts w:ascii="Arial" w:hAnsi="Arial" w:cs="Arial"/>
                <w:b/>
                <w:sz w:val="20"/>
                <w:szCs w:val="20"/>
              </w:rPr>
              <w:t>AUDIOVISIVO E MULTIMEDIALE  IAM</w:t>
            </w:r>
          </w:p>
        </w:tc>
        <w:tc>
          <w:tcPr>
            <w:tcW w:w="4348" w:type="dxa"/>
            <w:gridSpan w:val="2"/>
            <w:shd w:val="clear" w:color="auto" w:fill="548DD4"/>
          </w:tcPr>
          <w:p w:rsidR="001D7684" w:rsidRPr="00857DD1" w:rsidRDefault="001D7684" w:rsidP="00C83C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3BE">
              <w:rPr>
                <w:rFonts w:ascii="Arial Narrow" w:hAnsi="Arial Narrow"/>
                <w:b/>
              </w:rPr>
              <w:t>LIVELLI</w:t>
            </w:r>
          </w:p>
        </w:tc>
      </w:tr>
      <w:tr w:rsidR="001D7684" w:rsidTr="00C83C0E">
        <w:trPr>
          <w:trHeight w:val="550"/>
        </w:trPr>
        <w:tc>
          <w:tcPr>
            <w:tcW w:w="2826" w:type="dxa"/>
            <w:shd w:val="clear" w:color="auto" w:fill="548DD4"/>
          </w:tcPr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680" w:type="dxa"/>
            <w:shd w:val="clear" w:color="auto" w:fill="548DD4"/>
          </w:tcPr>
          <w:p w:rsidR="001D7684" w:rsidRPr="00AE737A" w:rsidRDefault="001D7684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5" w:type="dxa"/>
            <w:shd w:val="clear" w:color="auto" w:fill="548DD4"/>
          </w:tcPr>
          <w:p w:rsidR="001D7684" w:rsidRPr="00AE737A" w:rsidRDefault="001D7684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1D7684" w:rsidRPr="00AE737A" w:rsidRDefault="001D7684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23" w:type="dxa"/>
            <w:shd w:val="clear" w:color="auto" w:fill="548DD4"/>
          </w:tcPr>
          <w:p w:rsidR="001D7684" w:rsidRPr="00AF1DC4" w:rsidRDefault="001D7684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7684" w:rsidTr="00C83C0E">
        <w:trPr>
          <w:trHeight w:val="550"/>
        </w:trPr>
        <w:tc>
          <w:tcPr>
            <w:tcW w:w="2826" w:type="dxa"/>
          </w:tcPr>
          <w:p w:rsidR="001D7684" w:rsidRPr="00D33823" w:rsidRDefault="001D7684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IAM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D33823">
              <w:rPr>
                <w:rFonts w:ascii="Arial" w:hAnsi="Arial" w:cs="Arial"/>
                <w:sz w:val="20"/>
                <w:szCs w:val="20"/>
              </w:rPr>
              <w:t>vere approfondito la conoscenza degli elementi costitutivi dei linguaggi audiovisivi e multimediali negli aspetti espressivi e comunicativi, avere consapevolezza dei fondamenti storici e concettuali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0" w:type="dxa"/>
          </w:tcPr>
          <w:p w:rsidR="001D7684" w:rsidRDefault="001D7684" w:rsidP="00C83C0E">
            <w:pPr>
              <w:pStyle w:val="Paragrafoelenco"/>
              <w:spacing w:after="0" w:line="240" w:lineRule="auto"/>
              <w:ind w:left="4" w:right="252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Riconosce e sa analizzare la principale produzione audiovisiva del passato e della contemporaneità e di cogliere le interazioni tra l’audiovisivo e le altre forme di linguaggio artistico.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252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Conosce le procedure relative all’elaborazione del prodotto audiovisivo - individuando il concetto, gli elementi espressivi e comunicativi, la funzione - attraverso la gestione dell’inquadratura (campi e piani, angoli di ripresa), del tempo, del movimento, del colore e della luce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È in grado di individuare e coordinare le interconnessioni tra il linguaggio audiovisivo ed il testo di riferimento, il soggetto o il prodotto da valorizzare o comunicare.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6" w:right="23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Sa coniugare le esigenze estetiche ed espressive con le eventuali necessità commerciali del prodotto.</w:t>
            </w:r>
          </w:p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shd w:val="clear" w:color="auto" w:fill="548DD4"/>
          </w:tcPr>
          <w:p w:rsidR="001D7684" w:rsidRPr="000A3C38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1D7684" w:rsidRPr="000A3C38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1D7684" w:rsidRPr="000A3C38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1D7684" w:rsidRPr="000A3C38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D7684" w:rsidTr="00C83C0E">
        <w:trPr>
          <w:trHeight w:val="550"/>
        </w:trPr>
        <w:tc>
          <w:tcPr>
            <w:tcW w:w="2826" w:type="dxa"/>
          </w:tcPr>
          <w:p w:rsidR="001D7684" w:rsidRPr="00D33823" w:rsidRDefault="001D7684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IAM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33823">
              <w:rPr>
                <w:rFonts w:ascii="Arial" w:hAnsi="Arial" w:cs="Arial"/>
                <w:sz w:val="20"/>
                <w:szCs w:val="20"/>
              </w:rPr>
              <w:t>onoscere le principali linee di sviluppo tecniche e concettuali delle opere audiovisive contemporanee e le intersezioni con le altre forme di espressione e comunicazione artistica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0" w:type="dxa"/>
          </w:tcPr>
          <w:p w:rsidR="001D7684" w:rsidRPr="00D7648D" w:rsidRDefault="001D7684" w:rsidP="00C83C0E">
            <w:pPr>
              <w:pStyle w:val="Paragrafoelenco"/>
              <w:spacing w:after="0" w:line="240" w:lineRule="auto"/>
              <w:ind w:left="8" w:right="189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Coglie il ruolo ed il valore culturale e sociale del linguaggio audiovisivo.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51" w:right="189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25"/>
              <w:rPr>
                <w:rFonts w:ascii="Arial" w:hAnsi="Arial" w:cs="Arial"/>
                <w:color w:val="000000"/>
                <w:sz w:val="20"/>
              </w:rPr>
            </w:pPr>
            <w:r w:rsidRPr="00D7648D">
              <w:rPr>
                <w:rFonts w:ascii="Arial" w:hAnsi="Arial" w:cs="Arial"/>
                <w:color w:val="000000"/>
                <w:sz w:val="20"/>
              </w:rPr>
              <w:t>È  in grado di individuare e coordinare le interconnessioni tra il linguaggio audiovisivo ed il testo di riferimento, il soggetto o il prodotto da valorizzare o comunicare.</w:t>
            </w:r>
          </w:p>
          <w:p w:rsidR="001D7684" w:rsidRPr="00AE737A" w:rsidRDefault="001D7684" w:rsidP="00C83C0E">
            <w:pPr>
              <w:pStyle w:val="Paragrafoelenco"/>
              <w:spacing w:after="0" w:line="240" w:lineRule="auto"/>
              <w:ind w:left="4" w:right="25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548DD4"/>
          </w:tcPr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D7684" w:rsidTr="00C83C0E">
        <w:trPr>
          <w:trHeight w:val="550"/>
        </w:trPr>
        <w:tc>
          <w:tcPr>
            <w:tcW w:w="2826" w:type="dxa"/>
          </w:tcPr>
          <w:p w:rsidR="001D7684" w:rsidRPr="00D33823" w:rsidRDefault="001D7684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t>IAM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3823">
              <w:rPr>
                <w:rFonts w:ascii="Arial" w:hAnsi="Arial" w:cs="Arial"/>
                <w:sz w:val="20"/>
                <w:szCs w:val="20"/>
              </w:rPr>
              <w:t xml:space="preserve">onoscere e applicare le tecniche adeguate nei processi operativi, avere capacità procedurali in funzione della </w:t>
            </w:r>
            <w:r w:rsidRPr="00D33823">
              <w:rPr>
                <w:rFonts w:ascii="Arial" w:hAnsi="Arial" w:cs="Arial"/>
                <w:sz w:val="20"/>
                <w:szCs w:val="20"/>
              </w:rPr>
              <w:lastRenderedPageBreak/>
              <w:t>contaminazione tra le tradizionali specificazioni disciplinari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80" w:type="dxa"/>
          </w:tcPr>
          <w:p w:rsidR="001D7684" w:rsidRPr="00D7648D" w:rsidRDefault="001D7684" w:rsidP="00C83C0E">
            <w:pPr>
              <w:pStyle w:val="Paragrafoelenco"/>
              <w:spacing w:after="0" w:line="240" w:lineRule="auto"/>
              <w:ind w:left="0" w:right="249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lastRenderedPageBreak/>
              <w:t xml:space="preserve">Conosce le fondamentali procedure progettuali ed operative della produzione audiovisiva di tipo culturale, sociale </w:t>
            </w:r>
            <w:r w:rsidRPr="00D7648D">
              <w:rPr>
                <w:rFonts w:ascii="Arial" w:hAnsi="Arial" w:cs="Arial"/>
                <w:sz w:val="20"/>
              </w:rPr>
              <w:lastRenderedPageBreak/>
              <w:t xml:space="preserve">o pubblicitario. 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0" w:right="249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249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 xml:space="preserve">Possiede le competenze adeguate nell’uso dei mezzi informatici e delle nuove tecnologie. 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249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 xml:space="preserve">Sa gestire, in maniera autonoma, i processi progettuali e operativi inerenti il settore audiovisivo e multimediale, individuando, sia nell’analisi, sia nella propria produzione, gli aspetti espressivi, comunicativi, concettuali, narrativi, estetici e funzionali che interagiscono e caratterizzano la ricerca audiovisiva. 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 xml:space="preserve">È in grado di impiegare in modo appropriato le diverse tecniche e tecnologie, le strumentazioni fotografiche, video e multimediali più usate, scegliendoli con consapevolezza. 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51" w:right="189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widowControl w:val="0"/>
              <w:autoSpaceDE w:val="0"/>
              <w:autoSpaceDN w:val="0"/>
              <w:adjustRightInd w:val="0"/>
              <w:ind w:left="4" w:right="252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 xml:space="preserve">Sa applicare le procedure necessarie alla realizzazione di opere audiovisive ideate su tema assegnato: fotografia, filmati, animazione cinematografica o informatica, </w:t>
            </w:r>
            <w:proofErr w:type="spellStart"/>
            <w:r w:rsidRPr="00D7648D">
              <w:rPr>
                <w:rFonts w:ascii="Arial" w:hAnsi="Arial" w:cs="Arial"/>
                <w:sz w:val="20"/>
              </w:rPr>
              <w:t>etc</w:t>
            </w:r>
            <w:proofErr w:type="spellEnd"/>
            <w:r w:rsidRPr="00D7648D">
              <w:rPr>
                <w:rFonts w:ascii="Arial" w:hAnsi="Arial" w:cs="Arial"/>
                <w:sz w:val="20"/>
              </w:rPr>
              <w:t>;</w:t>
            </w:r>
          </w:p>
          <w:p w:rsidR="001D7684" w:rsidRPr="00D7648D" w:rsidRDefault="001D7684" w:rsidP="00C83C0E">
            <w:pPr>
              <w:widowControl w:val="0"/>
              <w:autoSpaceDE w:val="0"/>
              <w:autoSpaceDN w:val="0"/>
              <w:adjustRightInd w:val="0"/>
              <w:ind w:left="4" w:right="252"/>
              <w:jc w:val="both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È capace di gestire autonomamente l’intero iter progettuale di un’opera audiovisiva, dalla ricerca del soggetto alle tecniche di proiezione, passando dall’eventuale sceneggiatura, dal progetto grafico (</w:t>
            </w:r>
            <w:proofErr w:type="spellStart"/>
            <w:r w:rsidRPr="00D7648D">
              <w:rPr>
                <w:rFonts w:ascii="Arial" w:hAnsi="Arial" w:cs="Arial"/>
                <w:sz w:val="20"/>
              </w:rPr>
              <w:t>storyboard</w:t>
            </w:r>
            <w:proofErr w:type="spellEnd"/>
            <w:r w:rsidRPr="00D7648D">
              <w:rPr>
                <w:rFonts w:ascii="Arial" w:hAnsi="Arial" w:cs="Arial"/>
                <w:sz w:val="20"/>
              </w:rPr>
              <w:t>), dalla ripresa, dal montaggio, dal fotoritocco e dalla post-produzione, coordinando i periodi di produzione scanditi dal rapporto sinergico tra la disciplina ed il laboratorio.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/>
              <w:rPr>
                <w:rFonts w:ascii="Arial" w:hAnsi="Arial" w:cs="Arial"/>
                <w:sz w:val="20"/>
              </w:rPr>
            </w:pP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4"/>
              <w:rPr>
                <w:rFonts w:ascii="Arial" w:hAnsi="Arial" w:cs="Arial"/>
                <w:b/>
                <w:sz w:val="18"/>
              </w:rPr>
            </w:pPr>
            <w:r w:rsidRPr="00D7648D">
              <w:rPr>
                <w:rFonts w:ascii="Arial" w:hAnsi="Arial" w:cs="Arial"/>
                <w:sz w:val="20"/>
              </w:rPr>
              <w:t xml:space="preserve">Sa sviluppare una ricerca </w:t>
            </w:r>
            <w:r w:rsidRPr="00D7648D">
              <w:rPr>
                <w:rFonts w:ascii="Arial" w:hAnsi="Arial" w:cs="Arial"/>
                <w:sz w:val="20"/>
              </w:rPr>
              <w:lastRenderedPageBreak/>
              <w:t>artistica individuale o di gruppo, che conosca i principi essenziali che regolano il sistema della committenza, l’iter esecutivo, il circuito produttivo con le relative figure professionali, l’industria fotografica e cinematografica, il marketing del prodotto audiovisivo, la produzione in sala e l’home entertainment, considerando inoltre destinatari e contesto.</w:t>
            </w:r>
          </w:p>
          <w:p w:rsidR="001D7684" w:rsidRPr="00D7648D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:rsidR="001D7684" w:rsidRPr="00AE737A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548DD4"/>
          </w:tcPr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D7684" w:rsidTr="00C83C0E">
        <w:trPr>
          <w:trHeight w:val="550"/>
        </w:trPr>
        <w:tc>
          <w:tcPr>
            <w:tcW w:w="2826" w:type="dxa"/>
          </w:tcPr>
          <w:p w:rsidR="001D7684" w:rsidRPr="00D33823" w:rsidRDefault="001D7684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823">
              <w:rPr>
                <w:rFonts w:ascii="Arial" w:hAnsi="Arial" w:cs="Arial"/>
                <w:b/>
                <w:sz w:val="20"/>
                <w:szCs w:val="20"/>
              </w:rPr>
              <w:lastRenderedPageBreak/>
              <w:t>IAM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33823">
              <w:rPr>
                <w:rFonts w:ascii="Arial" w:hAnsi="Arial" w:cs="Arial"/>
                <w:sz w:val="20"/>
                <w:szCs w:val="20"/>
              </w:rPr>
              <w:t>onoscere e saper applicare i principi della percezione visiva e della composizione dell’immagine.</w:t>
            </w:r>
          </w:p>
        </w:tc>
        <w:tc>
          <w:tcPr>
            <w:tcW w:w="2680" w:type="dxa"/>
          </w:tcPr>
          <w:p w:rsidR="001D7684" w:rsidRPr="00D7648D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D7648D">
              <w:rPr>
                <w:rFonts w:ascii="Arial" w:hAnsi="Arial" w:cs="Arial"/>
                <w:sz w:val="20"/>
              </w:rPr>
              <w:t>Sa applicare i principi della composizione e di conoscere le teorie essenziali della percezione visiva.</w:t>
            </w:r>
          </w:p>
          <w:p w:rsidR="001D7684" w:rsidRPr="00AE737A" w:rsidRDefault="001D7684" w:rsidP="00C83C0E">
            <w:pPr>
              <w:pStyle w:val="Paragrafoelenco"/>
              <w:spacing w:after="0" w:line="240" w:lineRule="auto"/>
              <w:ind w:left="0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D7684" w:rsidRPr="00D35BA2" w:rsidRDefault="001D7684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548DD4"/>
          </w:tcPr>
          <w:p w:rsidR="001D7684" w:rsidRPr="00AE737A" w:rsidRDefault="001D7684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1D7684"/>
    <w:rsid w:val="001D7684"/>
    <w:rsid w:val="00A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D76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2015-11-03T19:22:00Z</dcterms:created>
  <dcterms:modified xsi:type="dcterms:W3CDTF">2015-11-03T19:23:00Z</dcterms:modified>
</cp:coreProperties>
</file>