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121" w:lineRule="auto"/>
        <w:ind w:right="222"/>
        <w:rPr/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858545" cy="761809"/>
            <wp:effectExtent b="0" l="0" r="0" t="0"/>
            <wp:docPr id="4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8545" cy="7618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pStyle w:val="Heading1"/>
        <w:spacing w:before="121" w:lineRule="auto"/>
        <w:ind w:right="222"/>
        <w:rPr>
          <w:i w:val="0"/>
          <w:sz w:val="16"/>
          <w:szCs w:val="16"/>
        </w:rPr>
      </w:pPr>
      <w:r w:rsidDel="00000000" w:rsidR="00000000" w:rsidRPr="00000000">
        <w:rPr>
          <w:rtl w:val="0"/>
        </w:rPr>
        <w:t xml:space="preserve">Ministero dell’istruzione e del merito</w:t>
      </w:r>
      <w:r w:rsidDel="00000000" w:rsidR="00000000" w:rsidRPr="00000000">
        <w:rPr>
          <w:i w:val="0"/>
          <w:sz w:val="26.666666666666668"/>
          <w:szCs w:val="26.666666666666668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6120057" cy="1765592"/>
            <wp:effectExtent b="0" l="0" r="0" t="0"/>
            <wp:docPr id="4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17655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226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CERTIFICAZIONE DELLE COMPETENZE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584200</wp:posOffset>
                </wp:positionV>
                <wp:extent cx="3108066" cy="3108066"/>
                <wp:effectExtent b="0" l="0" r="0" t="0"/>
                <wp:wrapNone/>
                <wp:docPr id="4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 rot="2700000">
                          <a:off x="3411790" y="3526000"/>
                          <a:ext cx="386842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800.000038146972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584200</wp:posOffset>
                </wp:positionV>
                <wp:extent cx="3108066" cy="3108066"/>
                <wp:effectExtent b="0" l="0" r="0" t="0"/>
                <wp:wrapNone/>
                <wp:docPr id="4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08066" cy="310806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spacing w:before="254" w:lineRule="auto"/>
        <w:ind w:right="227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IN ASSOLVIMENTO DELL’OBBLIGO DI ISTRUZIONE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9218"/>
        </w:tabs>
        <w:ind w:left="47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 certifica che 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7408"/>
          <w:tab w:val="left" w:leader="none" w:pos="9721"/>
        </w:tabs>
        <w:ind w:left="47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nat_ a 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(prov.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) il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" w:lineRule="auto"/>
        <w:ind w:left="47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 raggiunto, in assolvimento dell’obbligo di istruzione, i livelli di competenza di seguito illustrati</w:t>
      </w:r>
    </w:p>
    <w:p w:rsidR="00000000" w:rsidDel="00000000" w:rsidP="00000000" w:rsidRDefault="00000000" w:rsidRPr="00000000" w14:paraId="00000010">
      <w:pPr>
        <w:spacing w:before="1" w:lineRule="auto"/>
        <w:ind w:left="47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" w:lineRule="auto"/>
        <w:ind w:left="47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" w:lineRule="auto"/>
        <w:ind w:left="472" w:firstLine="0"/>
        <w:rPr>
          <w:sz w:val="24"/>
          <w:szCs w:val="24"/>
        </w:rPr>
        <w:sectPr>
          <w:footerReference r:id="rId10" w:type="default"/>
          <w:pgSz w:h="16840" w:w="11910" w:orient="portrait"/>
          <w:pgMar w:bottom="1180" w:top="680" w:left="660" w:right="440" w:header="0" w:footer="996"/>
          <w:pgNumType w:start="1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203200</wp:posOffset>
                </wp:positionV>
                <wp:extent cx="9525" cy="12700"/>
                <wp:effectExtent b="0" l="0" r="0" t="0"/>
                <wp:wrapTopAndBottom distB="0" distT="0"/>
                <wp:docPr id="4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431283" y="3775238"/>
                          <a:ext cx="1829435" cy="9525"/>
                        </a:xfrm>
                        <a:custGeom>
                          <a:rect b="b" l="l" r="r" t="t"/>
                          <a:pathLst>
                            <a:path extrusionOk="0" h="9525" w="182943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203200</wp:posOffset>
                </wp:positionV>
                <wp:extent cx="9525" cy="12700"/>
                <wp:effectExtent b="0" l="0" r="0" t="0"/>
                <wp:wrapTopAndBottom distB="0" distT="0"/>
                <wp:docPr id="4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7.0" w:type="dxa"/>
        <w:jc w:val="left"/>
        <w:tblInd w:w="4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31"/>
        <w:gridCol w:w="7089"/>
        <w:gridCol w:w="1277"/>
        <w:tblGridChange w:id="0">
          <w:tblGrid>
            <w:gridCol w:w="1731"/>
            <w:gridCol w:w="7089"/>
            <w:gridCol w:w="1277"/>
          </w:tblGrid>
        </w:tblGridChange>
      </w:tblGrid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465" w:right="139" w:hanging="317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COMPETENZA CHIAVE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0" w:line="240" w:lineRule="auto"/>
              <w:ind w:left="26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COMPETENZE IN ASSOLVIMENTO DELL’OBBLIGO DI ISTRUZIONE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LIVELLO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3" w:line="240" w:lineRule="auto"/>
              <w:ind w:left="108" w:right="139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Competenza alfabetica funzionale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07" w:right="10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Padroneggiare la lingua di scolarizzazione in forma sia orale sia scritta in tutti i suoi aspetti (comprensione, interpretazione, produzione) utilizzando materiali di vario genere all’interno delle diverse discipline, dei diversi contesti e scopi comunicativi. Comunicare e relazionarsi con gli altri in modo efficace e opportuno.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139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Competenza multilinguistica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0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Utilizzare le diverse lingue** in forma orale e scritta (comprensione orale e scritta, produzione scritta e produzione/interazione orale) in modo appropriato ed efficace per diversi scopi comunicativi in diversi contesti sociali e culturali in base ai propri bisogni o desideri.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07" w:right="10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Comunicare in maniera appropriata, efficace e rispettosa con interlocutori che hanno riferimenti culturali diversi dai propri.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07" w:right="20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**specificare il livello per ciascuna lingua del curricolo, tenendo a riferimento anche i livelli di competenza attesi previsti nelle Indicazioni nazionali e nelle Linee Guida vigenti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Lingua………………………………………….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Lingua………………………………………….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Lingua………………………………………….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5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205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Competenza matematica e competenza in scienze, tecnologie e ingegneria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Utilizzare le tecniche e le procedure del calcolo aritmetico ed algebrico, rappresentandole anche sotto forma grafica.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83" w:lineRule="auto"/>
              <w:ind w:left="107" w:right="32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Confrontare ed analizzare figure geometriche, individuando invarianti e relazioni. Individuare le strategie appropriate per la soluzione di problemi.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07" w:right="101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Analizzare dati e interpretarli sviluppando deduzioni e ragionamenti sugli stessi anche con l’ausilio di rappresentazioni grafiche, usando consapevolmente gli strumenti di calcolo e le potenzialità offerte da applicazioni specifiche di tipo informatico.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07" w:right="101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Osservare, descrivere ed analizzare fenomeni appartenenti alla realtà naturale e artificiale e riconoscere nelle sue varie forme i concetti di sistema e di complessità, utilizzando le metodologie proprie dell’indagine scientifica.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107" w:right="101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Analizzare qualitativamente e quantitativamente fenomeni legati alle trasformazioni di energia a partire dall’esperienza, anche in relazione agli impatti ambientali e sociali di tali trasformazioni.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107" w:right="9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Individuare potenzialità e limiti delle tecnologie nel contesto culturale e sociale in cui vengono applicate anche a tutela della sostenibilità ambientale, sociale ed economica, con attenzione alle questioni etiche e della sicurezza, in particolare per quanto concerne il processo scientifico e tecnologico in relazione all’individuo, alla famiglia, alla comunità e alle questioni di dimensione globale.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9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39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Competenza digitale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7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Utilizzare le reti e gli strumenti informatici nelle attività di studio, ricerca e approfondimento disciplinari, analizzando, confrontando e valutando criticamente la credibilità e l’affidabilità delle fonti di dati, informazioni e contenuti digitali.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64" w:lineRule="auto"/>
              <w:ind w:left="107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Osservare le norme comportamentali nell'ambito dell'utilizzo delle tecnologie digitali. Proteggere la propria reputazione, gestire e tutelare i dati e le informazioni personali che si producono e si condividono attraverso diversi strumenti digitali, ambienti e servizi, rispettare i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dati e le identità altrui.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Osservare le principali regole a tutela della riservatezza applicate dai servizi digitali relativamente all'uso dei dati personali.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Evitare, usando tecnologie digitali, rischi per la salute e minacce al proprio benessere fisico e psicologico.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9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139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Competenza personale, sociale e capacità di imparare a imparare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0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Osservare comportamenti e atteggiamenti rispettosi verso il proprio benessere personale, sociale e fisico e quello degli altri, della comunità e del pianeta.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107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Collaborare e partecipare, interagendo in gruppo, comprendendo i diversi punti di vista, valorizzando le proprie e le altrui risorse, gestendo la conflittualità, contribuendo all’apprendimento comune ed alla realizzazione delle attività collettive, nel rispetto dei diritti degli altri e delle diversità, superando i pregiudizi; osservare atteggiamenti e comportamenti improntati a integrità ed empatia.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07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Imparare ad imparare, organizzando il proprio apprendimento, individuando, scegliendo ed utilizzando varie fonti e varie modalità di informazione e di formazione (formale, non formale ed informale), anche in funzione dei tempi disponibili, delle proprie strategie e del proprio metodo di studio e di lavoro. Sviluppare fiducia nei propri mezzi, valutare i propri punti critici, potenzialità e risorse; mantenere motivazione e interesse ad imparare sempre.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07" w:right="9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Individuare collegamenti e relazioni, identificando, elaborando e rappresentando argomentazioni coerenti, relazioni tra fenomeni, eventi e concetti, anche appartenenti a diversi ambiti disciplinari e lontani nello spazio e nel tempo, cogliendone la natura sistemica e complessa, ricercando analogie e differenze, coerenze ed incoerenze; stabilendo cause ed effetti in relazione a scenari/futuri possibili, riconoscendone la loro natura probabilistica.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>
          <w:sz w:val="2"/>
          <w:szCs w:val="2"/>
        </w:rPr>
        <w:sectPr>
          <w:type w:val="nextPage"/>
          <w:pgSz w:h="16840" w:w="11910" w:orient="portrait"/>
          <w:pgMar w:bottom="1180" w:top="660" w:left="660" w:right="440" w:header="0" w:footer="996"/>
        </w:sect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2211439</wp:posOffset>
                </wp:positionH>
                <wp:positionV relativeFrom="page">
                  <wp:posOffset>3807304</wp:posOffset>
                </wp:positionV>
                <wp:extent cx="3108066" cy="3108066"/>
                <wp:effectExtent b="0" l="0" r="0" t="0"/>
                <wp:wrapNone/>
                <wp:docPr id="4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 rot="2700000">
                          <a:off x="3411790" y="3526000"/>
                          <a:ext cx="386842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800.000038146972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2211439</wp:posOffset>
                </wp:positionH>
                <wp:positionV relativeFrom="page">
                  <wp:posOffset>3807304</wp:posOffset>
                </wp:positionV>
                <wp:extent cx="3108066" cy="3108066"/>
                <wp:effectExtent b="0" l="0" r="0" t="0"/>
                <wp:wrapNone/>
                <wp:docPr id="4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08066" cy="310806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97.0" w:type="dxa"/>
        <w:jc w:val="left"/>
        <w:tblInd w:w="4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31"/>
        <w:gridCol w:w="7089"/>
        <w:gridCol w:w="1277"/>
        <w:tblGridChange w:id="0">
          <w:tblGrid>
            <w:gridCol w:w="1731"/>
            <w:gridCol w:w="7089"/>
            <w:gridCol w:w="1277"/>
          </w:tblGrid>
        </w:tblGridChange>
      </w:tblGrid>
      <w:tr>
        <w:trPr>
          <w:cantSplit w:val="0"/>
          <w:trHeight w:val="779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Ricercare ed interpretare criticamente l’informazione proveniente dai diversi ambiti ed attraverso diversi strumenti comunicativi, valutandone l’attendibilità e l’utilità, distinguendo fatti e opinioni.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4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45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Competenza in materia di cittadinanza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0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Agire in modo autonomo e responsabile inserendosi in modo attivo e consapevole nella vita sociale, facendo valere i propri diritti e bisogni e riconoscendo al contempo quelli altrui, le opportunità comuni, i limiti, le regole, le responsabilità.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07" w:right="101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Collocare l’esperienza personale in un sistema di regole fondato sul reciproco riconoscimento dei diritti garantiti dalla Costituzione, a tutela della persona, della collettività e dell’ambiente e delle future generazioni.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107" w:right="10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Osservare comportamenti e atteggiamenti rispettosi dell’ambiente, dei beni comuni, della sostenibilità ambientale, economica, sociale, coerentemente con l’Agenda 2030 per lo sviluppo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18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sostenibile.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6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39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Competenza imprenditoriale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Elaborare e realizzare progetti riguardanti le proprie attività di studio e di lavoro, utilizzando le proprie conoscenze per stabilire obiettivi significativi e realistici e le relative priorità, valutando i vincoli e le possibilità esistenti, definendo strategie di azione e verificando i risultati raggiunti.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107" w:right="9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Individuare, affrontare e risolvere problemi costruendo e verificando ipotesi, reperendo le fonti e le risorse adeguate, raccogliendo e valutando i dati, proponendo soluzioni e utilizzando, secondo il tipo di problema, contenuti e metodi delle diverse discipline; pianificare e progettare; scegliere tra opzioni diverse, sempre agendo con integrità, nel rispetto del bene comune e trasformando le idee e le opportunità in valore per gli altri.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0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Collaborare con altri, valorizzando le loro risorse, le idee, i contributi al lavoro.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07" w:right="10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Riconoscere le caratteristiche essenziali del sistema socioeconomico per orientarsi nel tessuto produttivo del territorio.</w:t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39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21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Competenza in materia di consapevolezza ed espressione culturali</w:t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0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Comunicare e rappresentare creativamente eventi, fenomeni, principi, concetti, norme, procedure, atteggiamenti, stati d’animo, emozioni, ecc. utilizzando linguaggi diversi (verbale, matematico, scientifico, simbolico, corporeo, artistico, ecc.) e diverse conoscenze disciplinari, mediante supporti cartacei, informatici, multimediali, ecc.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07" w:right="9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Utilizzare gli strumenti fondamentali per una fruizione consapevole del patrimonio culturale, artistico, letterario, paesaggistico.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07" w:right="10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Comprendere il cambiamento e la diversità dei tempi storici in una dimensione diacronica attraverso il confronto fra epoche e culture, in una dimensione sincronica attraverso il confronto fra aree geografiche e culturali.</w:t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08" w:right="10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Lo/a studente/ssa ha inoltre mostrato significative competenze nello svolgimento di attività scolastiche e/o extrascolastiche, relativamente a: ............................................................................................................................. ................................................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08" w:right="10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08" w:right="10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08" w:right="10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08" w:right="10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08" w:right="10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08" w:right="10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08" w:right="10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94"/>
        </w:tabs>
        <w:spacing w:after="0" w:before="25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Data,   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1485900</wp:posOffset>
                </wp:positionH>
                <wp:positionV relativeFrom="paragraph">
                  <wp:posOffset>-1460499</wp:posOffset>
                </wp:positionV>
                <wp:extent cx="3108066" cy="3108066"/>
                <wp:effectExtent b="0" l="0" r="0" t="0"/>
                <wp:wrapNone/>
                <wp:docPr id="4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rot="2700000">
                          <a:off x="3411790" y="3526000"/>
                          <a:ext cx="386842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800.000038146972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1485900</wp:posOffset>
                </wp:positionH>
                <wp:positionV relativeFrom="paragraph">
                  <wp:posOffset>-1460499</wp:posOffset>
                </wp:positionV>
                <wp:extent cx="3108066" cy="3108066"/>
                <wp:effectExtent b="0" l="0" r="0" t="0"/>
                <wp:wrapNone/>
                <wp:docPr id="4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08066" cy="310806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94"/>
        </w:tabs>
        <w:spacing w:after="0" w:before="252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Il Dirigente scolastico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3708400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4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367465" y="3779365"/>
                          <a:ext cx="1957070" cy="1270"/>
                        </a:xfrm>
                        <a:custGeom>
                          <a:rect b="b" l="l" r="r" t="t"/>
                          <a:pathLst>
                            <a:path extrusionOk="0" h="120000" w="1957070">
                              <a:moveTo>
                                <a:pt x="0" y="0"/>
                              </a:moveTo>
                              <a:lnTo>
                                <a:pt x="1956743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3708400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4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22.0" w:type="dxa"/>
        <w:jc w:val="left"/>
        <w:tblInd w:w="374.0" w:type="dxa"/>
        <w:tblLayout w:type="fixed"/>
        <w:tblLook w:val="0000"/>
      </w:tblPr>
      <w:tblGrid>
        <w:gridCol w:w="1423"/>
        <w:gridCol w:w="8299"/>
        <w:tblGridChange w:id="0">
          <w:tblGrid>
            <w:gridCol w:w="1423"/>
            <w:gridCol w:w="8299"/>
          </w:tblGrid>
        </w:tblGridChange>
      </w:tblGrid>
      <w:tr>
        <w:trPr>
          <w:cantSplit w:val="0"/>
          <w:trHeight w:val="183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3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perscript"/>
                <w:rtl w:val="0"/>
              </w:rPr>
              <w:t xml:space="preserve">(*)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Livello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3" w:lineRule="auto"/>
              <w:ind w:left="31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Indicatori esplicativi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 – Avanzato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31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Lo/a studente/ssa svolge compiti e risolve problemi complessi, mostrando padronanza nell’uso delle conoscenze e delle abilità; propone e sostiene le proprie opinioni e assume in modo responsabile decisioni consapevoli.</w:t>
            </w:r>
          </w:p>
        </w:tc>
      </w:tr>
      <w:tr>
        <w:trPr>
          <w:cantSplit w:val="0"/>
          <w:trHeight w:val="411" w:hRule="atLeast"/>
          <w:tblHeader w:val="0"/>
        </w:trPr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 – Intermedio</w:t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31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Lo/a studente/ssa svolge compiti e risolve problemi in situazioni nuove, compie scelte consapevoli, mostrando di saper utilizzare le conoscenze e le abilità acquisite.</w:t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 – Base</w:t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31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Lo/a studente/ssa svolge compiti semplici anche in situazioni nuove, mostrando di possedere conoscenze e abilità fondamentali e di saper applicare basilari regole e procedure apprese.</w:t>
            </w:r>
          </w:p>
        </w:tc>
      </w:tr>
      <w:tr>
        <w:trPr>
          <w:cantSplit w:val="0"/>
          <w:trHeight w:val="182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3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 – Iniziale</w:t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3" w:lineRule="auto"/>
              <w:ind w:left="31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Lo/a studente/ssa, se opportunamente guidato/a, svolge compiti semplici in situazioni note.</w:t>
            </w:r>
          </w:p>
        </w:tc>
      </w:tr>
    </w:tbl>
    <w:p w:rsidR="00000000" w:rsidDel="00000000" w:rsidP="00000000" w:rsidRDefault="00000000" w:rsidRPr="00000000" w14:paraId="0000008D">
      <w:pPr>
        <w:spacing w:before="100" w:lineRule="auto"/>
        <w:ind w:right="695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continuous"/>
      <w:pgSz w:h="16840" w:w="11910" w:orient="portrait"/>
      <w:pgMar w:bottom="1134" w:top="1417" w:left="1134" w:right="1134" w:header="720" w:footer="140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5943600</wp:posOffset>
              </wp:positionH>
              <wp:positionV relativeFrom="paragraph">
                <wp:posOffset>9906000</wp:posOffset>
              </wp:positionV>
              <wp:extent cx="226695" cy="175260"/>
              <wp:effectExtent b="0" l="0" r="0" t="0"/>
              <wp:wrapNone/>
              <wp:docPr id="44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37415" y="3697133"/>
                        <a:ext cx="217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14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5943600</wp:posOffset>
              </wp:positionH>
              <wp:positionV relativeFrom="paragraph">
                <wp:posOffset>9906000</wp:posOffset>
              </wp:positionV>
              <wp:extent cx="226695" cy="175260"/>
              <wp:effectExtent b="0" l="0" r="0" t="0"/>
              <wp:wrapNone/>
              <wp:docPr id="4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669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right="225"/>
      <w:jc w:val="center"/>
    </w:pPr>
    <w:rPr>
      <w:i w:val="1"/>
      <w:sz w:val="56"/>
      <w:szCs w:val="5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6C2388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kern w:val="0"/>
    </w:rPr>
  </w:style>
  <w:style w:type="paragraph" w:styleId="Titolo1">
    <w:name w:val="heading 1"/>
    <w:basedOn w:val="Normale"/>
    <w:link w:val="Titolo1Carattere"/>
    <w:uiPriority w:val="9"/>
    <w:qFormat w:val="1"/>
    <w:rsid w:val="006C2388"/>
    <w:pPr>
      <w:ind w:right="225"/>
      <w:jc w:val="center"/>
      <w:outlineLvl w:val="0"/>
    </w:pPr>
    <w:rPr>
      <w:i w:val="1"/>
      <w:iCs w:val="1"/>
      <w:sz w:val="56"/>
      <w:szCs w:val="5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9"/>
    <w:rsid w:val="006C2388"/>
    <w:rPr>
      <w:rFonts w:ascii="Times New Roman" w:cs="Times New Roman" w:eastAsia="Times New Roman" w:hAnsi="Times New Roman"/>
      <w:i w:val="1"/>
      <w:iCs w:val="1"/>
      <w:kern w:val="0"/>
      <w:sz w:val="56"/>
      <w:szCs w:val="56"/>
    </w:rPr>
  </w:style>
  <w:style w:type="table" w:styleId="TableNormal" w:customStyle="1">
    <w:name w:val="Table Normal"/>
    <w:uiPriority w:val="2"/>
    <w:semiHidden w:val="1"/>
    <w:unhideWhenUsed w:val="1"/>
    <w:qFormat w:val="1"/>
    <w:rsid w:val="006C2388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link w:val="CorpotestoCarattere"/>
    <w:uiPriority w:val="1"/>
    <w:qFormat w:val="1"/>
    <w:rsid w:val="006C2388"/>
  </w:style>
  <w:style w:type="character" w:styleId="CorpotestoCarattere" w:customStyle="1">
    <w:name w:val="Corpo testo Carattere"/>
    <w:basedOn w:val="Carpredefinitoparagrafo"/>
    <w:link w:val="Corpotesto"/>
    <w:uiPriority w:val="1"/>
    <w:rsid w:val="006C2388"/>
    <w:rPr>
      <w:rFonts w:ascii="Times New Roman" w:cs="Times New Roman" w:eastAsia="Times New Roman" w:hAnsi="Times New Roman"/>
      <w:kern w:val="0"/>
    </w:rPr>
  </w:style>
  <w:style w:type="paragraph" w:styleId="TableParagraph" w:customStyle="1">
    <w:name w:val="Table Paragraph"/>
    <w:basedOn w:val="Normale"/>
    <w:uiPriority w:val="1"/>
    <w:qFormat w:val="1"/>
    <w:rsid w:val="006C238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5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SSAlWoC6OYqJ6fOkM13SyUzwww==">CgMxLjA4AHIhMUJzTUFJYWFvMjdGelRMR0tLLUZ6OTFMOXloZlFZcXU3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2024-05-22T14:16:00Z</dcterms:created>
  <dc:creator>Utente</dc:creator>
</cp:coreProperties>
</file>